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61 vom 1. Juni 2026</w:t>
      </w:r>
    </w:p>
    <w:p>
      <w:r>
        <w:t>FR Kantonsgericht, 2026-06-01, FR</w:t>
      </w:r>
    </w:p>
    <w:p>
      <w:r>
        <w:rPr>
          <w:b/>
        </w:rPr>
        <w:t xml:space="preserve">Quelle: </w:t>
      </w:r>
      <w:r>
        <w:t>https://mcp.opencaselaw.ch/entscheid/fr_gerichte_105 2026 61</w:t>
      </w:r>
    </w:p>
    <w:p>
      <w:r>
        <w:t>FR: FR_GERICHTE 105 2026 61 du 1 juin 2026</w:t>
      </w:r>
    </w:p>
    <w:p>
      <w:r>
        <w:t>IT: FR_GERICHTE 105 2026 61 del 1 giugno 2026</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mesure attaquée, soit la saisie du 27 février 2026, a été adressée au débiteur le même jour, sous pli recommandé. A première vue, la plainte du 13 avril 2026 semble donc tardive et devrait être déclarée irrecevable. A défaut de preuve de notification au dossier, il y a cependant lieu d'admettre que la plainte a été déposée en temps utile, ce d’autant qu’elle peut être déposée en tout temps lorsque la décision attaquée est susceptible, comme l’affirme le plaignant en définitive, d’affecter son minimum vital d’existence. Dûment motivée et dotée de conclusions – implicites à tout le moins –, la plainte est au surplus recevable en la forme.</w:t>
      </w:r>
    </w:p>
    <w:p>
      <w:r>
        <w:rPr>
          <w:b/>
        </w:rPr>
        <w:t>E. 2</w:t>
      </w:r>
    </w:p>
    <w:p>
      <w:r>
        <w:t>Le plaignant soutient que le personnel de l’autorité intimée lui aurait prétendument manqué de respect – en se montrant notamment hostile, insultant ou encore arrogant à son égard – et demande qu’il soit sanctionné et que la gestion de son dossier soit confiée à un autre office.</w:t>
      </w:r>
    </w:p>
    <w:p>
      <w:r>
        <w:rPr>
          <w:b/>
        </w:rPr>
        <w:t>E. 2.1</w:t>
      </w:r>
    </w:p>
    <w:p>
      <w:r>
        <w:t>Aux termes de l'art. 10 al. 1 LP, aucun préposé, ni employé, ni aucun membre de l'autorité de surveillance ne peut procéder à un acte de son office lorsqu'il s'agit de ses propres intérêts (ch. 1), lorsqu'il s'agit des intérêts de son conjoint, de son fiancé ou de sa fiancée, de ses parents ou alliés en ligne directe ascendante ou descendante ou en ligne collatérale, jusqu'au troisième degré inclusivement (ch. 2), lorsqu'il s'agit des intérêts d'une personne dont il est le représentant légal, le mandataire ou l'employé (ch. 3) et lorsque, pour d'autres raisons, il pourrait avoir une opinion préconçue dans l'affaire (ch. 4). En l’espèce, le plaignant se borne à affirmer de manière toute générale que le personnel de l’Office lui aurait prétendument manqué de respect, en se montrant notamment hostile, insultant ou encore arrogant à son égard. Or, non seulement il ne donne aucun exemple concret visant à corroborer ses allégations, mais bien plus encore et surtout, il ne fait valoir aucun motif spécifique qui ferait apparaître chez l’une ou l’autre personne composant ladite autorité un quelconque motif de récusation au sens de la disposition précitée. En tout état de cause, il semble utile de rappeler que le simple fait que les huissiers en charge de son dossier ne rendent pas des décisions qui vont dans son sens n’est pas un motif de récusation. Dans ces circonstances, à supposer que le plaignant entendait invoquer une violation de l’art. 10 LP et, le cas échéant, demander la récusation du personnel de l’Office – ce qui n’est pas clair, puisqu’il n’a pris aucune conclusion formelle en ce sens –, sa requête ne pourrait qu’être rejetée, dans la mesure où elle est manifestement infondée.</w:t>
      </w:r>
    </w:p>
    <w:p>
      <w:r>
        <w:rPr>
          <w:b/>
        </w:rPr>
        <w:t>E. 3</w:t>
      </w:r>
    </w:p>
    <w:p>
      <w:r>
        <w:t>Le plaignant soutient en substance que la saisie litigieuse le place dans une situation difficile et le laisse sans les ressources suffisantes afin de vivre convenablement.</w:t>
      </w:r>
    </w:p>
    <w:p>
      <w:r>
        <w:rPr>
          <w:b/>
        </w:rPr>
        <w:t>E. 3.1</w:t>
      </w:r>
    </w:p>
    <w:p>
      <w:r>
        <w:t>L'art. 93 al. 1 LP dispose que les revenus du travail, de même que les pensions et prestations de toutes sortes destinées à couvrir une perte de gain, notamment, peuvent être saisis, déduction</w:t>
      </w:r>
    </w:p>
    <w:p>
      <w:r>
        <w:t>Tribunal cantonal TC Page 4 de 7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(cf. BSK SchKG I – VONDER MÜHLL, 3e éd. 2021, art. 93 n. 17 et 21). De plus, si l'office doit certes établir d'office la situation financière, le débiteur est tenu de collaborer en apportant les éléments de fait importants et en fournissant les preuves à sa disposition (cf. VON DER MÜHLL, art. 93 n. 16); le poursuivi doit ainsi établir qu'il paie effectivement les charges alléguées, en produisant des justificatifs de paiement (cf.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(cf. CR LP-OCHSNER, 2025 2ème éd., art. 93 n. 81).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pour le calcul du minimum vital du droit des poursuites – la part des ressources du débiteur qu'elles estiment indispensable à son entretien et à celui de sa famille (cf. ATF 130 III 45 consid. 2; arrêt TF 5A_919/2012 du 11 février 2013 consid. 4.3.1). Les lignes directrices fixent, à leur chiffre I, la base mensuelle pour un couple à CHF 1'700.-. Ce montant de base comprend les frais pour l'alimentation, les vêtements et le linge y compris leur entretien, les soins corporels et de santé, l'entretien du logement, les frais culturels ainsi que les dépenses pour l'éclairage, le courant électrique ou le gaz pour la cuisine. À teneur du chiffre II des lignes directrices fait notamment partie des suppléments au montant de base mensuel le loyer effectif pour le logement ou une chambre, sans les coûts d’éclairage, d’électricité et/ou de gaz pour cuisiner étant donné qu’ils sont compris dans le montant de base. Dans le cas d’une colocation (y compris enfants majeurs avec propres revenus professionnels), il convient en général de tenir compte d’une participation proportionnelle aux dépenses de logement. La contribution d’entretien prévue à l’art. 328 al. 1 CC et versée à un parent en ligne directe, ascendante ou descendante, peut également être prise en considération dans le minimum vital du débiteur. Selon cette disposition, celui qui vit dans l’aisance doit fournir à un parent en ligne directe l’assistance indispensable pour lui éviter de tomber dans le besoin. Trois conditions doivent être réalisées et vérifiées d’office : le débiteur vit dans l’aisance, le parent ne peut assurer son propre minimum vital que grâce à l’aide du débiteur et aucun autre membre de la famille ne peut assumer l’obligation d’entretien, en entier ou partiellement. Dans la pratique, il est très rare qu’un débiteur puisse démontrer qu’il vit dans l’aisance et qu’il se justifierait d’inclure dans son minimum vital une telle obligation d’entretien (CR LP-OCHSNER, 2e éd. 2025, art. 93 n. 139a et réf. citées).</w:t>
      </w:r>
    </w:p>
    <w:p>
      <w:r>
        <w:rPr>
          <w:b/>
        </w:rPr>
        <w:t>E. 3.2</w:t>
      </w:r>
    </w:p>
    <w:p>
      <w:r>
        <w:t>En l’espèce, sur la base des documents recueillis au terme de ses investigations – rendues nécessaires par l’absence de collaboration du débiteur –, l’Office a considéré et retenu – faute de pièces justificatives notamment – que le débiteur perçoit un montant de CHF 5'577.60 par mois au titre d’indemnités journalières accident et son épouse un revenu mensuel variable de l’ordre de</w:t>
      </w:r>
    </w:p>
    <w:p>
      <w:r>
        <w:t>Tribunal cantonal TC Page 5 de 7 CHF 7'796.10. Arrêtant le minimum vital du couple à CHF 4’284.- par mois (et celui du débiteur à CHF 1'786.67), soit CHF 2’300.- de base mensuelle (CHF 1'700.- pour un couple marié + CHF 600.- pour un enfant de plus de 10 ans), CHF 1’540.- de loyer, CHF 150.- au titre de frais divers, CHF 217.- au titre de frais de repas pris hors domicile par son épouse et CHF 77.- au titre de frais de déplacement de celle-ci en transports publics, il a fixé le montant mensuel saisissable à CHF 3'787.60. Pour peu que l’on comprenne son argumentation, le plaignant fait notamment grief à l’Office d’avoir imputé à son épouse un revenu hypothétique largement supérieur à son revenu effectif ou encore d’avoir écarté sans raison la contribution d’entretien qu’il verse à sa mère. Il fait également reproche à l’autorité intimée de ne pas avoir pris en considération un certain nombre de charges effectives, parmi lesquelles figurent un montant de CHF 800.- facturés par sa régie pour des frais et des travaux d’entretien effectués dans son immeuble, ses frais de téléphone et internet, ses primes d’assurances maladie obligatoire et complémentaire, les frais médicaux relatifs à son traitement, respectivement la franchise de l’assurance-maladie ou encore la quote-part de 10 % pour les coûts restants.</w:t>
      </w:r>
    </w:p>
    <w:p>
      <w:r>
        <w:rPr>
          <w:b/>
        </w:rPr>
        <w:t>E. 3.3</w:t>
      </w:r>
    </w:p>
    <w:p>
      <w:r>
        <w:t>Quoi qu’en dise ou pense le plaignant, la fixation de son minimum vital, telle qu’opérée par l’Office, ne comporte aucune erreur, que ce soit dans l’application du droit et/ou dans sa justification en fait. Il suffit dès lors de renvoyer à la détermination de l’Office du 27 avril 2026, tout en soulignant qu’il incombait au plaignant, sauf à violer son devoir de collaboration (cf. supra consid. 3.1.), de produire toutes les pièces utiles à l'établissement de son minimum vital d’existence, ce qu’il n’a pas fait, de sorte qu’il est malvenu de s’en plaindre. Il est d’autant plus malvenu de s’en plaindre que l’Office l’a expressément rendu attentif, à plusieurs reprises déjà, à son devoir de collaboration et aux conséquences en cas de non-respect de celui-ci (cf. demande de pièces du 15 janvier 2026 notamment, pce n° 5 du bordereau de l’OP du 27.04.2026). Dans ces circonstances, il faut admettre que sa posture tient de la mauvaise foi, respectivement de l’abus de droit, lorsqu’elle ne frise pas la témérité, ce qui ne mérite aucune protection.</w:t>
      </w:r>
    </w:p>
    <w:p>
      <w:r>
        <w:rPr>
          <w:b/>
        </w:rPr>
        <w:t>E. 3.4</w:t>
      </w:r>
    </w:p>
    <w:p>
      <w:r>
        <w:t>En l’occurrence, pour ce qui est tout d’abord du montant de CHF 800.- prétendument facturé par sa régie pour des frais et des travaux d’entretien effectués dans son immeuble, outre le fait que le plaignant n’a présenté aucun justificatif de paiement le concernant, ces charges apparaissent au demeurant d’emblée douteuses, puisque l’intéressé est locataire et n’a pas à les assumer selon les règles sur le droit du bail. Cette dernière problématique peut toutefois souffrir de demeurer indécise, dès lors que le plaignant n’a fourni aucun justificatif de paiement, comme relevé en préambule.</w:t>
      </w:r>
    </w:p>
    <w:p>
      <w:r>
        <w:rPr>
          <w:b/>
        </w:rPr>
        <w:t>E. 3.5</w:t>
      </w:r>
    </w:p>
    <w:p>
      <w:r>
        <w:t>S’agissant des primes d’assurance-maladie obligatoire, de la franchise y relative et de la quote-part de 10 % pour les coûts restants, il suffit de constater que le plaignant n’a, ici encore, pas produit les justificatifs de paiements, malgré les demandes expresses de l’Office en ce sens, si bien que c’est à juste titre qu’elles n’ont pas été prises en considération. D’une manière générale, comme cela a déjà été relevé plus haut (cf. supra consid. 3.3), les griefs du plaignant en lien avec ces primes d’assurance et les différents frais médicaux concernant son traitement qui auraient prétendument été écartées à tort par l’Office frisent la témérité et ne peuvent qu’être écartés, dans la mesure où il appartenait au débiteur de produire les justificatifs de paiements concernés, en vertu de son devoir de collaboration, ce qu’il n’a pas fait. Il ne prétend d’ailleurs pas le contraire, ce qui suffit à écarter ses griefs. Par surabondance de motifs, et comme relevé à juste titre par l’autorité intimée dans ses déterminations, de jurisprudence constante, les primes d’assurance-maladie complémentaire n’ont pas à être prises en compte dans le calcul du minimum vital du débiteur.</w:t>
      </w:r>
    </w:p>
    <w:p>
      <w:r>
        <w:t>Tribunal cantonal TC Page 6 de 7</w:t>
      </w:r>
    </w:p>
    <w:p>
      <w:r>
        <w:rPr>
          <w:b/>
        </w:rPr>
        <w:t>E. 3.6</w:t>
      </w:r>
    </w:p>
    <w:p>
      <w:r>
        <w:t>S’agissant des frais de téléphone et internet du débiteur, on se limitera à relever à cet égard qu’ils sont en principe compris dans la base mensuelle de CHF 1'700.- du couple et que le forfait de CHF 150.- accordé par l’Office au titre de « frais divers » peut également servir à les couvrir si nécessaire.</w:t>
      </w:r>
    </w:p>
    <w:p>
      <w:r>
        <w:rPr>
          <w:b/>
        </w:rPr>
        <w:t>E. 3.7</w:t>
      </w:r>
    </w:p>
    <w:p>
      <w:r>
        <w:t>S’agissant des critiques du plaignant en lien avec la détermination des revenus de son épouse, il faut admettre que c’est d’une manière qui ne prête pas le flanc à la critique que l’Office a arrêté les revenus de l’intéressée sur la base des renseignements obtenus auprès de ses employeurs et de différents établissements bancaires – au terme d’investigations rendues nécessaires par l’absence de collaboration du débiteur –, de sorte que sa critique frise, une nouvelle fois, la témérité. Le plaignant est donc malvenu de s’en plaindre, ce d’autant qu’il reste libre de demander une révision de sa situation en tout temps si les revenus de son épouse devaient fluctuer en produisant les décomptes de salaire utiles.</w:t>
      </w:r>
    </w:p>
    <w:p>
      <w:r>
        <w:rPr>
          <w:b/>
        </w:rPr>
        <w:t>E. 3.8</w:t>
      </w:r>
    </w:p>
    <w:p>
      <w:r>
        <w:t>Enfin, pour ce qui est de la contribution d’entretien en faveur de la mère du débiteur, il semble utile de rappeler qu’une telle contribution ne peut être prise en considération qu’à titre exceptionnel, puisque cela présuppose la réalisation de trois conditions cumulatives (cf. supra consid. 3.1). Or, à l’évidence, ces conditions ne sont pas réalisées dans le cas d’espèce, dès lors notamment qu’il est extrêmement rare qu’un débiteur soit en mesure de démontrer qu’il vit dans l’aisance.</w:t>
      </w:r>
    </w:p>
    <w:p>
      <w:r>
        <w:rPr>
          <w:b/>
        </w:rPr>
        <w:t>E. 3.9</w:t>
      </w:r>
    </w:p>
    <w:p>
      <w:r>
        <w:t>Il s’ensuit le rejet de la plainte et la confirmation de la décision de saisie attaquée.</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7 de 7 la Chambre arrête : I. La plainte est rejetée. Partant, la décision de saisie de salaire du 27 février 2026 de l’Office des poursuites de la Sarine est confirmée. II. La demande de récusation du personnel de l’Office des poursuites de la Sarine est rejetée.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mai 2026/lda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